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ED3" w:rsidRDefault="00AD5ED3" w:rsidP="001F134F">
      <w:pPr>
        <w:jc w:val="center"/>
        <w:rPr>
          <w:rFonts w:cstheme="minorHAnsi"/>
          <w:sz w:val="24"/>
          <w:szCs w:val="24"/>
        </w:rPr>
      </w:pPr>
    </w:p>
    <w:p w:rsidR="00E07EC4" w:rsidRPr="00AD5ED3" w:rsidRDefault="001F134F" w:rsidP="001F134F">
      <w:pPr>
        <w:jc w:val="center"/>
        <w:rPr>
          <w:rFonts w:ascii="Verdana" w:hAnsi="Verdana" w:cstheme="minorHAnsi"/>
          <w:b/>
          <w:u w:val="single"/>
        </w:rPr>
      </w:pPr>
      <w:bookmarkStart w:id="0" w:name="_GoBack"/>
      <w:r w:rsidRPr="00AD5ED3">
        <w:rPr>
          <w:rFonts w:ascii="Verdana" w:hAnsi="Verdana" w:cstheme="minorHAnsi"/>
          <w:b/>
          <w:u w:val="single"/>
        </w:rPr>
        <w:t>RENDICIÓN DE ORGANISMOS PUBLICOS EN RESOLUCIÓN 759-2003</w:t>
      </w:r>
    </w:p>
    <w:bookmarkEnd w:id="0"/>
    <w:p w:rsidR="007F1F23" w:rsidRPr="00AD5ED3" w:rsidRDefault="007F1F23" w:rsidP="001F134F">
      <w:pPr>
        <w:jc w:val="both"/>
        <w:rPr>
          <w:rFonts w:ascii="Verdana" w:hAnsi="Verdana" w:cstheme="minorHAnsi"/>
        </w:rPr>
      </w:pPr>
    </w:p>
    <w:p w:rsidR="007F1F23" w:rsidRPr="00AD5ED3" w:rsidRDefault="007F1F23" w:rsidP="001F134F">
      <w:pPr>
        <w:pStyle w:val="Pa16"/>
        <w:spacing w:after="20"/>
        <w:ind w:firstLine="280"/>
        <w:jc w:val="both"/>
        <w:rPr>
          <w:rFonts w:ascii="Verdana" w:hAnsi="Verdana" w:cstheme="minorHAnsi"/>
          <w:color w:val="000000"/>
          <w:sz w:val="22"/>
          <w:szCs w:val="22"/>
        </w:rPr>
      </w:pPr>
      <w:r w:rsidRPr="00AD5ED3">
        <w:rPr>
          <w:rFonts w:ascii="Verdana" w:hAnsi="Verdana" w:cstheme="minorHAnsi"/>
          <w:b/>
          <w:bCs/>
          <w:color w:val="000000"/>
          <w:sz w:val="22"/>
          <w:szCs w:val="22"/>
        </w:rPr>
        <w:t>Soporte de la documentación de la rendición de cuentas</w:t>
      </w:r>
    </w:p>
    <w:p w:rsidR="00AD5ED3" w:rsidRPr="00AD5ED3" w:rsidRDefault="007F1F23" w:rsidP="00AD5ED3">
      <w:pPr>
        <w:pStyle w:val="Pa3"/>
        <w:spacing w:after="40"/>
        <w:ind w:firstLine="280"/>
        <w:jc w:val="both"/>
        <w:rPr>
          <w:rFonts w:ascii="Verdana" w:hAnsi="Verdana" w:cstheme="minorHAnsi"/>
          <w:b/>
          <w:bCs/>
          <w:color w:val="000000"/>
          <w:sz w:val="22"/>
          <w:szCs w:val="22"/>
        </w:rPr>
      </w:pPr>
      <w:r w:rsidRPr="00AD5ED3">
        <w:rPr>
          <w:rFonts w:ascii="Verdana" w:hAnsi="Verdana" w:cstheme="minorHAnsi"/>
          <w:b/>
          <w:bCs/>
          <w:color w:val="000000"/>
          <w:sz w:val="22"/>
          <w:szCs w:val="22"/>
        </w:rPr>
        <w:t>3.2.1</w:t>
      </w:r>
      <w:proofErr w:type="gramStart"/>
      <w:r w:rsidRPr="00AD5ED3">
        <w:rPr>
          <w:rFonts w:ascii="Verdana" w:hAnsi="Verdana" w:cstheme="minorHAnsi"/>
          <w:b/>
          <w:bCs/>
          <w:color w:val="000000"/>
          <w:sz w:val="22"/>
          <w:szCs w:val="22"/>
        </w:rPr>
        <w:t>.–</w:t>
      </w:r>
      <w:proofErr w:type="gramEnd"/>
      <w:r w:rsidRPr="00AD5ED3">
        <w:rPr>
          <w:rFonts w:ascii="Verdana" w:hAnsi="Verdana" w:cstheme="minorHAnsi"/>
          <w:b/>
          <w:bCs/>
          <w:color w:val="000000"/>
          <w:sz w:val="22"/>
          <w:szCs w:val="22"/>
        </w:rPr>
        <w:t xml:space="preserve"> Documentación auténtica de cuentas en soporte de papel</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Para efectos de la documentación de cuentas en soporte de papel se considerará auténtico sólo el documento original, de acuerdo con lo dispuesto en el artículo 95 de la ley N° 10.336 y en el artículo 55 del decreto ley N° 1.263, de 1975.</w:t>
      </w:r>
    </w:p>
    <w:p w:rsidR="007F1F2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En el caso que los documentos en soporte de papel se conviertan a formato digital, éste se considerará copia de aq</w:t>
      </w:r>
      <w:r w:rsidR="001F134F" w:rsidRPr="00AD5ED3">
        <w:rPr>
          <w:rFonts w:ascii="Verdana" w:hAnsi="Verdana" w:cstheme="minorHAnsi"/>
          <w:color w:val="000000"/>
          <w:sz w:val="22"/>
          <w:szCs w:val="22"/>
        </w:rPr>
        <w:t>uéllos.</w:t>
      </w:r>
    </w:p>
    <w:p w:rsidR="00AD5ED3" w:rsidRPr="00AD5ED3" w:rsidRDefault="00AD5ED3" w:rsidP="00AD5ED3"/>
    <w:p w:rsidR="00AD5ED3" w:rsidRPr="00AD5ED3" w:rsidRDefault="007F1F23" w:rsidP="00AD5ED3">
      <w:pPr>
        <w:pStyle w:val="Pa3"/>
        <w:spacing w:after="40"/>
        <w:ind w:firstLine="280"/>
        <w:jc w:val="both"/>
        <w:rPr>
          <w:rFonts w:ascii="Verdana" w:hAnsi="Verdana" w:cstheme="minorHAnsi"/>
          <w:b/>
          <w:bCs/>
          <w:color w:val="000000"/>
          <w:sz w:val="22"/>
          <w:szCs w:val="22"/>
        </w:rPr>
      </w:pPr>
      <w:r w:rsidRPr="00AD5ED3">
        <w:rPr>
          <w:rFonts w:ascii="Verdana" w:hAnsi="Verdana" w:cstheme="minorHAnsi"/>
          <w:b/>
          <w:bCs/>
          <w:color w:val="000000"/>
          <w:sz w:val="22"/>
          <w:szCs w:val="22"/>
        </w:rPr>
        <w:t>3.2.2</w:t>
      </w:r>
      <w:proofErr w:type="gramStart"/>
      <w:r w:rsidRPr="00AD5ED3">
        <w:rPr>
          <w:rFonts w:ascii="Verdana" w:hAnsi="Verdana" w:cstheme="minorHAnsi"/>
          <w:b/>
          <w:bCs/>
          <w:color w:val="000000"/>
          <w:sz w:val="22"/>
          <w:szCs w:val="22"/>
        </w:rPr>
        <w:t>.–</w:t>
      </w:r>
      <w:proofErr w:type="gramEnd"/>
      <w:r w:rsidRPr="00AD5ED3">
        <w:rPr>
          <w:rFonts w:ascii="Verdana" w:hAnsi="Verdana" w:cstheme="minorHAnsi"/>
          <w:b/>
          <w:bCs/>
          <w:color w:val="000000"/>
          <w:sz w:val="22"/>
          <w:szCs w:val="22"/>
        </w:rPr>
        <w:t xml:space="preserve"> Documentación auténtica de cuentas en soporte electrónico</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Los servicios públicos y toda persona o entidad que esté obligada a rendir cuentas ante la Contraloría General, podrán hacerlo, previa autorización de este Organismo, con documentación electrónica en formato digital, en cuyo caso deberán asegurar el acceso a sus sistemas automatizados de tratamiento de información.</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Dicha autorización tiene por objeto verificar que las técnicas y medios electrónicos del servicio, persona o entidad fiscalizado sean compatibles con los que utilice la Contraloría General, y que los sistemas automatizados de tratamiento de información en que se almacena la documentación electrónica pertinente, cuentan con algún nivel de resguardo y seguridad para garantizar la autenticidad, integridad y disponibilidad de la información.</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Para tales efectos, la compatibilidad y la seguridad serán evaluadas considerando, entre otras, las normas técnicas que se fijen a instancia del Comité de Normas para el Documento Electrónico, creado por el artículo 47, del decreto N° 181, de 2002, del Ministerio de Economía, Fomento y Reconstrucción, reglamento de la ley N° 19.799.</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Si la autenticidad de alguno de los documentos en soporte electrónico no resulta suficientemente acreditada, por no disponer de firma electrónica, carecer ésta de valor o no garantizar técnicamente tal aspecto de conformidad con las reglas generales, la situación será observada con el objeto que se presente o ponga a disposición de la Contraloría General, la representación impresa del documento electrónico, debidamente autenticada, o un soporte electrónico del documento que posea los resguardos que garanticen su autenticidad e integridad.</w:t>
      </w:r>
    </w:p>
    <w:p w:rsidR="007F1F2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Cuando se trate de representaciones impresas de documentos electrónicos, éstas deberán contener un mecanismo que permita verificar su integridad y autenticidad.</w:t>
      </w:r>
    </w:p>
    <w:p w:rsidR="00AD5ED3" w:rsidRPr="00AD5ED3" w:rsidRDefault="00AD5ED3" w:rsidP="00AD5ED3"/>
    <w:p w:rsidR="007F1F23" w:rsidRPr="00AD5ED3" w:rsidRDefault="007F1F23" w:rsidP="001F134F">
      <w:pPr>
        <w:pStyle w:val="Pa14"/>
        <w:ind w:firstLine="280"/>
        <w:jc w:val="both"/>
        <w:rPr>
          <w:rFonts w:ascii="Verdana" w:hAnsi="Verdana" w:cstheme="minorHAnsi"/>
          <w:color w:val="000000"/>
          <w:sz w:val="22"/>
          <w:szCs w:val="22"/>
        </w:rPr>
      </w:pPr>
      <w:r w:rsidRPr="00AD5ED3">
        <w:rPr>
          <w:rFonts w:ascii="Verdana" w:hAnsi="Verdana" w:cstheme="minorHAnsi"/>
          <w:b/>
          <w:bCs/>
          <w:color w:val="000000"/>
          <w:sz w:val="22"/>
          <w:szCs w:val="22"/>
        </w:rPr>
        <w:lastRenderedPageBreak/>
        <w:t>3.3</w:t>
      </w:r>
      <w:proofErr w:type="gramStart"/>
      <w:r w:rsidRPr="00AD5ED3">
        <w:rPr>
          <w:rFonts w:ascii="Verdana" w:hAnsi="Verdana" w:cstheme="minorHAnsi"/>
          <w:b/>
          <w:bCs/>
          <w:color w:val="000000"/>
          <w:sz w:val="22"/>
          <w:szCs w:val="22"/>
        </w:rPr>
        <w:t>.–</w:t>
      </w:r>
      <w:proofErr w:type="gramEnd"/>
      <w:r w:rsidRPr="00AD5ED3">
        <w:rPr>
          <w:rFonts w:ascii="Verdana" w:hAnsi="Verdana" w:cstheme="minorHAnsi"/>
          <w:b/>
          <w:bCs/>
          <w:color w:val="000000"/>
          <w:sz w:val="22"/>
          <w:szCs w:val="22"/>
        </w:rPr>
        <w:t xml:space="preserve"> Expediente de documentación de cuentas</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Se entenderá por expediente de documentación de cuentas la serie ordenada de documentos en soporte de papel o electrónico, que comprueban las cuentas correspondientes a una rendición específica, requerido por el fiscalizador de la Contraloría General al cuentadante, para su examen y el correspondiente informe, de acuerdo con lo dispuesto en la ley N° 10.336.</w:t>
      </w:r>
    </w:p>
    <w:p w:rsidR="00AD5ED3" w:rsidRDefault="007F1F23" w:rsidP="00AD5ED3">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En el caso de un expediente de documentación de cuentas electrónico, la autenticidad e integridad de éste, como asimismo el no repudio de estas características, deberán estar garantizadas por la firma electrónica del funcionario, persona o entidad responsable de dicha rendición, de conform</w:t>
      </w:r>
      <w:r w:rsidR="001F134F" w:rsidRPr="00AD5ED3">
        <w:rPr>
          <w:rFonts w:ascii="Verdana" w:hAnsi="Verdana" w:cstheme="minorHAnsi"/>
          <w:color w:val="000000"/>
          <w:sz w:val="22"/>
          <w:szCs w:val="22"/>
        </w:rPr>
        <w:t>idad con las reglas generales.</w:t>
      </w:r>
    </w:p>
    <w:p w:rsidR="00AD5ED3" w:rsidRDefault="00AD5ED3" w:rsidP="00AD5ED3">
      <w:pPr>
        <w:pStyle w:val="Pa3"/>
        <w:spacing w:after="40"/>
        <w:ind w:firstLine="280"/>
        <w:jc w:val="both"/>
        <w:rPr>
          <w:rFonts w:ascii="Verdana" w:hAnsi="Verdana" w:cstheme="minorHAnsi"/>
          <w:color w:val="000000"/>
          <w:sz w:val="22"/>
          <w:szCs w:val="22"/>
        </w:rPr>
      </w:pPr>
    </w:p>
    <w:p w:rsidR="00AD5ED3" w:rsidRDefault="00AD5ED3" w:rsidP="00AD5ED3"/>
    <w:p w:rsidR="00AD5ED3" w:rsidRPr="00AD5ED3" w:rsidRDefault="00AD5ED3" w:rsidP="00AD5ED3"/>
    <w:p w:rsidR="00AD5ED3" w:rsidRDefault="007F1F23" w:rsidP="00AD5ED3">
      <w:pPr>
        <w:pStyle w:val="Pa3"/>
        <w:spacing w:after="40"/>
        <w:ind w:firstLine="280"/>
        <w:jc w:val="both"/>
        <w:rPr>
          <w:rFonts w:ascii="Verdana" w:hAnsi="Verdana" w:cstheme="minorHAnsi"/>
          <w:b/>
          <w:bCs/>
          <w:color w:val="000000"/>
          <w:sz w:val="22"/>
          <w:szCs w:val="22"/>
        </w:rPr>
      </w:pPr>
      <w:proofErr w:type="gramStart"/>
      <w:r w:rsidRPr="00AD5ED3">
        <w:rPr>
          <w:rFonts w:ascii="Verdana" w:hAnsi="Verdana" w:cstheme="minorHAnsi"/>
          <w:b/>
          <w:bCs/>
          <w:color w:val="000000"/>
          <w:sz w:val="22"/>
          <w:szCs w:val="22"/>
        </w:rPr>
        <w:t>4.–</w:t>
      </w:r>
      <w:proofErr w:type="gramEnd"/>
      <w:r w:rsidRPr="00AD5ED3">
        <w:rPr>
          <w:rFonts w:ascii="Verdana" w:hAnsi="Verdana" w:cstheme="minorHAnsi"/>
          <w:b/>
          <w:bCs/>
          <w:color w:val="000000"/>
          <w:sz w:val="22"/>
          <w:szCs w:val="22"/>
        </w:rPr>
        <w:t xml:space="preserve"> DISPONIBILIDAD DE RENDICIONES </w:t>
      </w:r>
    </w:p>
    <w:p w:rsidR="00AD5ED3" w:rsidRPr="00AD5ED3" w:rsidRDefault="00AD5ED3" w:rsidP="00AD5ED3"/>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Como regla general, las rendiciones de cuentas deberán conformarse y mantenerse a disposición de la Contraloría General, en la sede central del servicio respectivo o en las sedes de las Unidades Operativas de éstos, en la medida que tales dependencias perciban, administren o apliquen recursos públicos.</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Si el servicio externaliza actividades a partir de las cuales se custodien o administren fondos por cuenta suya que generan documentación necesaria para la rendición y examen de cuentas, ello no podrá ser obstáculo a la labor fiscalizadora de esta Contraloría General.</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En tal sentido, los servicios mantendrán la obligación de rendir dichas cuentas a la Contraloría General, debiendo adoptar los resguardos contractuales o de otro tipo que garanticen un completo examen debidamente documentado de las cuentas.</w:t>
      </w:r>
    </w:p>
    <w:p w:rsidR="007F1F2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Toda dificultad al examen del Ente Contralor impuesta por terceros en quienes se externalizan actividades del servicio fiscalizado, podrá ser considerada como fundamento para el correspondiente reparo de dicha cuenta.</w:t>
      </w:r>
    </w:p>
    <w:p w:rsidR="00AD5ED3" w:rsidRPr="00AD5ED3" w:rsidRDefault="00AD5ED3" w:rsidP="00AD5ED3"/>
    <w:p w:rsidR="007F1F23" w:rsidRDefault="007F1F23" w:rsidP="001F134F">
      <w:pPr>
        <w:pStyle w:val="Pa3"/>
        <w:spacing w:after="40"/>
        <w:ind w:firstLine="280"/>
        <w:jc w:val="both"/>
        <w:rPr>
          <w:rFonts w:ascii="Verdana" w:hAnsi="Verdana" w:cstheme="minorHAnsi"/>
          <w:b/>
          <w:bCs/>
          <w:color w:val="000000"/>
          <w:sz w:val="22"/>
          <w:szCs w:val="22"/>
        </w:rPr>
      </w:pPr>
      <w:proofErr w:type="gramStart"/>
      <w:r w:rsidRPr="00AD5ED3">
        <w:rPr>
          <w:rFonts w:ascii="Verdana" w:hAnsi="Verdana" w:cstheme="minorHAnsi"/>
          <w:b/>
          <w:bCs/>
          <w:color w:val="000000"/>
          <w:sz w:val="22"/>
          <w:szCs w:val="22"/>
        </w:rPr>
        <w:t>5.–</w:t>
      </w:r>
      <w:proofErr w:type="gramEnd"/>
      <w:r w:rsidRPr="00AD5ED3">
        <w:rPr>
          <w:rFonts w:ascii="Verdana" w:hAnsi="Verdana" w:cstheme="minorHAnsi"/>
          <w:b/>
          <w:bCs/>
          <w:color w:val="000000"/>
          <w:sz w:val="22"/>
          <w:szCs w:val="22"/>
        </w:rPr>
        <w:t xml:space="preserve"> FONDOS ENTREGADOS A TERCEROS</w:t>
      </w:r>
    </w:p>
    <w:p w:rsidR="00AD5ED3" w:rsidRPr="00AD5ED3" w:rsidRDefault="00AD5ED3" w:rsidP="00AD5ED3"/>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b/>
          <w:bCs/>
          <w:color w:val="000000"/>
          <w:sz w:val="22"/>
          <w:szCs w:val="22"/>
        </w:rPr>
        <w:t>5.1</w:t>
      </w:r>
      <w:proofErr w:type="gramStart"/>
      <w:r w:rsidRPr="00AD5ED3">
        <w:rPr>
          <w:rFonts w:ascii="Verdana" w:hAnsi="Verdana" w:cstheme="minorHAnsi"/>
          <w:b/>
          <w:bCs/>
          <w:color w:val="000000"/>
          <w:sz w:val="22"/>
          <w:szCs w:val="22"/>
        </w:rPr>
        <w:t>.–</w:t>
      </w:r>
      <w:proofErr w:type="gramEnd"/>
      <w:r w:rsidRPr="00AD5ED3">
        <w:rPr>
          <w:rFonts w:ascii="Verdana" w:hAnsi="Verdana" w:cstheme="minorHAnsi"/>
          <w:b/>
          <w:bCs/>
          <w:color w:val="000000"/>
          <w:sz w:val="22"/>
          <w:szCs w:val="22"/>
        </w:rPr>
        <w:t xml:space="preserve"> Remesas entre Unidades Operativas</w:t>
      </w:r>
    </w:p>
    <w:p w:rsidR="007F1F2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La inversión de estos valores será examinada por esta Contraloría General en la sede de la Unidad receptora o mediante el acceso a los sistemas de tratamiento automatizado de información en donde se almacene la documentación pertinente.</w:t>
      </w:r>
    </w:p>
    <w:p w:rsidR="00AD5ED3" w:rsidRPr="00AD5ED3" w:rsidRDefault="00AD5ED3" w:rsidP="00AD5ED3"/>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b/>
          <w:bCs/>
          <w:color w:val="000000"/>
          <w:sz w:val="22"/>
          <w:szCs w:val="22"/>
        </w:rPr>
        <w:t>5.2</w:t>
      </w:r>
      <w:proofErr w:type="gramStart"/>
      <w:r w:rsidRPr="00AD5ED3">
        <w:rPr>
          <w:rFonts w:ascii="Verdana" w:hAnsi="Verdana" w:cstheme="minorHAnsi"/>
          <w:b/>
          <w:bCs/>
          <w:color w:val="000000"/>
          <w:sz w:val="22"/>
          <w:szCs w:val="22"/>
        </w:rPr>
        <w:t>.–</w:t>
      </w:r>
      <w:proofErr w:type="gramEnd"/>
      <w:r w:rsidRPr="00AD5ED3">
        <w:rPr>
          <w:rFonts w:ascii="Verdana" w:hAnsi="Verdana" w:cstheme="minorHAnsi"/>
          <w:b/>
          <w:bCs/>
          <w:color w:val="000000"/>
          <w:sz w:val="22"/>
          <w:szCs w:val="22"/>
        </w:rPr>
        <w:t xml:space="preserve"> Transferencias a otros Servicios Públicos</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La Unidad Operativa otorgante rendirá cuenta de la transferencia con el comprobante de ingreso emitido por el Organismo receptor, el que deberá especificar el origen del aporte. La inversión de la transferencia será examinada por la Contraloría General en la sede del Servicio Receptor o mediante el acceso a los sistemas de tratamiento automatizado de información en donde se almacene la documentación pertinente.</w:t>
      </w:r>
    </w:p>
    <w:p w:rsidR="007F1F23" w:rsidRPr="00AD5ED3" w:rsidRDefault="007F1F23" w:rsidP="001F134F">
      <w:pPr>
        <w:pStyle w:val="Pa3"/>
        <w:spacing w:after="40"/>
        <w:ind w:firstLine="280"/>
        <w:jc w:val="both"/>
        <w:rPr>
          <w:rFonts w:ascii="Verdana" w:hAnsi="Verdana" w:cstheme="minorHAnsi"/>
          <w:color w:val="000000"/>
          <w:sz w:val="22"/>
          <w:szCs w:val="22"/>
        </w:rPr>
      </w:pPr>
      <w:r w:rsidRPr="00AD5ED3">
        <w:rPr>
          <w:rFonts w:ascii="Verdana" w:hAnsi="Verdana" w:cstheme="minorHAnsi"/>
          <w:color w:val="000000"/>
          <w:sz w:val="22"/>
          <w:szCs w:val="22"/>
        </w:rPr>
        <w:t xml:space="preserve">La inversión de las transferencias que no deban ser incorporadas a los presupuestos de los organismos receptores, será examinada por el Organismo Contralor en la sede del Servicio Receptor o mediante el acceso a los sistemas de tratamiento automatizado de información en donde se almacene la documentación pertinente.95 </w:t>
      </w:r>
    </w:p>
    <w:p w:rsidR="007F1F23" w:rsidRPr="00AD5ED3" w:rsidRDefault="007F1F23" w:rsidP="001F134F">
      <w:pPr>
        <w:jc w:val="both"/>
        <w:rPr>
          <w:rFonts w:ascii="Verdana" w:hAnsi="Verdana" w:cstheme="minorHAnsi"/>
        </w:rPr>
      </w:pPr>
      <w:r w:rsidRPr="00AD5ED3">
        <w:rPr>
          <w:rFonts w:ascii="Verdana" w:hAnsi="Verdana" w:cstheme="minorHAnsi"/>
          <w:color w:val="000000"/>
        </w:rPr>
        <w:t xml:space="preserve">Sin perjuicio de lo anterior, el Organismo Público receptor estará obligado a enviar a la Unidad otorgante un comprobante de ingreso por los recursos percibidos y un informe mensual de su inversión, que deberá señalar, a lo menos, el monto de los recursos recibidos en el mes, el monto detallado de la inversión realizada y el saldo disponible para el mes siguiente. Dicho informe servirá de base para la contabilización del </w:t>
      </w:r>
      <w:proofErr w:type="spellStart"/>
      <w:r w:rsidRPr="00AD5ED3">
        <w:rPr>
          <w:rFonts w:ascii="Verdana" w:hAnsi="Verdana" w:cstheme="minorHAnsi"/>
          <w:color w:val="000000"/>
        </w:rPr>
        <w:t>devengamiento</w:t>
      </w:r>
      <w:proofErr w:type="spellEnd"/>
      <w:r w:rsidRPr="00AD5ED3">
        <w:rPr>
          <w:rFonts w:ascii="Verdana" w:hAnsi="Verdana" w:cstheme="minorHAnsi"/>
          <w:color w:val="000000"/>
        </w:rPr>
        <w:t xml:space="preserve"> y del pago que importa la ejecución presupuestaria del gasto por parte de la unidad otorgante.</w:t>
      </w:r>
    </w:p>
    <w:p w:rsidR="001F134F" w:rsidRPr="00AD5ED3" w:rsidRDefault="001F134F">
      <w:pPr>
        <w:jc w:val="both"/>
        <w:rPr>
          <w:rFonts w:ascii="Verdana" w:hAnsi="Verdana" w:cstheme="minorHAnsi"/>
        </w:rPr>
      </w:pPr>
    </w:p>
    <w:sectPr w:rsidR="001F134F" w:rsidRPr="00AD5ED3">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C8B" w:rsidRDefault="007E3C8B" w:rsidP="00AD5ED3">
      <w:pPr>
        <w:spacing w:after="0" w:line="240" w:lineRule="auto"/>
      </w:pPr>
      <w:r>
        <w:separator/>
      </w:r>
    </w:p>
  </w:endnote>
  <w:endnote w:type="continuationSeparator" w:id="0">
    <w:p w:rsidR="007E3C8B" w:rsidRDefault="007E3C8B" w:rsidP="00AD5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C8B" w:rsidRDefault="007E3C8B" w:rsidP="00AD5ED3">
      <w:pPr>
        <w:spacing w:after="0" w:line="240" w:lineRule="auto"/>
      </w:pPr>
      <w:r>
        <w:separator/>
      </w:r>
    </w:p>
  </w:footnote>
  <w:footnote w:type="continuationSeparator" w:id="0">
    <w:p w:rsidR="007E3C8B" w:rsidRDefault="007E3C8B" w:rsidP="00AD5E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D3" w:rsidRPr="00AD5ED3" w:rsidRDefault="00AD5ED3" w:rsidP="00AD5ED3">
    <w:pPr>
      <w:pStyle w:val="Encabezado"/>
    </w:pPr>
    <w:r>
      <w:rPr>
        <w:noProof/>
        <w:lang w:val="es-CL" w:eastAsia="es-CL"/>
      </w:rPr>
      <w:drawing>
        <wp:inline distT="0" distB="0" distL="0" distR="0" wp14:anchorId="6433F1A9" wp14:editId="37CAB97C">
          <wp:extent cx="3448050" cy="1057275"/>
          <wp:effectExtent l="0" t="0" r="0" b="9525"/>
          <wp:docPr id="149" name="Imagen 149"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F23"/>
    <w:rsid w:val="001F134F"/>
    <w:rsid w:val="007E3C8B"/>
    <w:rsid w:val="007F1F23"/>
    <w:rsid w:val="00AD5ED3"/>
    <w:rsid w:val="00E07E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6">
    <w:name w:val="Pa16"/>
    <w:basedOn w:val="Normal"/>
    <w:next w:val="Normal"/>
    <w:uiPriority w:val="99"/>
    <w:rsid w:val="007F1F23"/>
    <w:pPr>
      <w:autoSpaceDE w:val="0"/>
      <w:autoSpaceDN w:val="0"/>
      <w:adjustRightInd w:val="0"/>
      <w:spacing w:after="0" w:line="201" w:lineRule="atLeast"/>
    </w:pPr>
    <w:rPr>
      <w:rFonts w:ascii="Arial" w:hAnsi="Arial" w:cs="Arial"/>
      <w:sz w:val="24"/>
      <w:szCs w:val="24"/>
    </w:rPr>
  </w:style>
  <w:style w:type="paragraph" w:customStyle="1" w:styleId="Pa3">
    <w:name w:val="Pa3"/>
    <w:basedOn w:val="Normal"/>
    <w:next w:val="Normal"/>
    <w:uiPriority w:val="99"/>
    <w:rsid w:val="007F1F23"/>
    <w:pPr>
      <w:autoSpaceDE w:val="0"/>
      <w:autoSpaceDN w:val="0"/>
      <w:adjustRightInd w:val="0"/>
      <w:spacing w:after="0" w:line="201" w:lineRule="atLeast"/>
    </w:pPr>
    <w:rPr>
      <w:rFonts w:ascii="Arial" w:hAnsi="Arial" w:cs="Arial"/>
      <w:sz w:val="24"/>
      <w:szCs w:val="24"/>
    </w:rPr>
  </w:style>
  <w:style w:type="paragraph" w:customStyle="1" w:styleId="Pa14">
    <w:name w:val="Pa14"/>
    <w:basedOn w:val="Normal"/>
    <w:next w:val="Normal"/>
    <w:uiPriority w:val="99"/>
    <w:rsid w:val="007F1F23"/>
    <w:pPr>
      <w:autoSpaceDE w:val="0"/>
      <w:autoSpaceDN w:val="0"/>
      <w:adjustRightInd w:val="0"/>
      <w:spacing w:after="0" w:line="201" w:lineRule="atLeast"/>
    </w:pPr>
    <w:rPr>
      <w:rFonts w:ascii="Arial" w:hAnsi="Arial" w:cs="Arial"/>
      <w:sz w:val="24"/>
      <w:szCs w:val="24"/>
    </w:rPr>
  </w:style>
  <w:style w:type="paragraph" w:styleId="Encabezado">
    <w:name w:val="header"/>
    <w:basedOn w:val="Normal"/>
    <w:link w:val="EncabezadoCar"/>
    <w:uiPriority w:val="99"/>
    <w:unhideWhenUsed/>
    <w:rsid w:val="00AD5E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5ED3"/>
  </w:style>
  <w:style w:type="paragraph" w:styleId="Piedepgina">
    <w:name w:val="footer"/>
    <w:basedOn w:val="Normal"/>
    <w:link w:val="PiedepginaCar"/>
    <w:uiPriority w:val="99"/>
    <w:unhideWhenUsed/>
    <w:rsid w:val="00AD5E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5ED3"/>
  </w:style>
  <w:style w:type="paragraph" w:styleId="Textodeglobo">
    <w:name w:val="Balloon Text"/>
    <w:basedOn w:val="Normal"/>
    <w:link w:val="TextodegloboCar"/>
    <w:uiPriority w:val="99"/>
    <w:semiHidden/>
    <w:unhideWhenUsed/>
    <w:rsid w:val="00AD5E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5E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6">
    <w:name w:val="Pa16"/>
    <w:basedOn w:val="Normal"/>
    <w:next w:val="Normal"/>
    <w:uiPriority w:val="99"/>
    <w:rsid w:val="007F1F23"/>
    <w:pPr>
      <w:autoSpaceDE w:val="0"/>
      <w:autoSpaceDN w:val="0"/>
      <w:adjustRightInd w:val="0"/>
      <w:spacing w:after="0" w:line="201" w:lineRule="atLeast"/>
    </w:pPr>
    <w:rPr>
      <w:rFonts w:ascii="Arial" w:hAnsi="Arial" w:cs="Arial"/>
      <w:sz w:val="24"/>
      <w:szCs w:val="24"/>
    </w:rPr>
  </w:style>
  <w:style w:type="paragraph" w:customStyle="1" w:styleId="Pa3">
    <w:name w:val="Pa3"/>
    <w:basedOn w:val="Normal"/>
    <w:next w:val="Normal"/>
    <w:uiPriority w:val="99"/>
    <w:rsid w:val="007F1F23"/>
    <w:pPr>
      <w:autoSpaceDE w:val="0"/>
      <w:autoSpaceDN w:val="0"/>
      <w:adjustRightInd w:val="0"/>
      <w:spacing w:after="0" w:line="201" w:lineRule="atLeast"/>
    </w:pPr>
    <w:rPr>
      <w:rFonts w:ascii="Arial" w:hAnsi="Arial" w:cs="Arial"/>
      <w:sz w:val="24"/>
      <w:szCs w:val="24"/>
    </w:rPr>
  </w:style>
  <w:style w:type="paragraph" w:customStyle="1" w:styleId="Pa14">
    <w:name w:val="Pa14"/>
    <w:basedOn w:val="Normal"/>
    <w:next w:val="Normal"/>
    <w:uiPriority w:val="99"/>
    <w:rsid w:val="007F1F23"/>
    <w:pPr>
      <w:autoSpaceDE w:val="0"/>
      <w:autoSpaceDN w:val="0"/>
      <w:adjustRightInd w:val="0"/>
      <w:spacing w:after="0" w:line="201" w:lineRule="atLeast"/>
    </w:pPr>
    <w:rPr>
      <w:rFonts w:ascii="Arial" w:hAnsi="Arial" w:cs="Arial"/>
      <w:sz w:val="24"/>
      <w:szCs w:val="24"/>
    </w:rPr>
  </w:style>
  <w:style w:type="paragraph" w:styleId="Encabezado">
    <w:name w:val="header"/>
    <w:basedOn w:val="Normal"/>
    <w:link w:val="EncabezadoCar"/>
    <w:uiPriority w:val="99"/>
    <w:unhideWhenUsed/>
    <w:rsid w:val="00AD5E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5ED3"/>
  </w:style>
  <w:style w:type="paragraph" w:styleId="Piedepgina">
    <w:name w:val="footer"/>
    <w:basedOn w:val="Normal"/>
    <w:link w:val="PiedepginaCar"/>
    <w:uiPriority w:val="99"/>
    <w:unhideWhenUsed/>
    <w:rsid w:val="00AD5E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5ED3"/>
  </w:style>
  <w:style w:type="paragraph" w:styleId="Textodeglobo">
    <w:name w:val="Balloon Text"/>
    <w:basedOn w:val="Normal"/>
    <w:link w:val="TextodegloboCar"/>
    <w:uiPriority w:val="99"/>
    <w:semiHidden/>
    <w:unhideWhenUsed/>
    <w:rsid w:val="00AD5E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5E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897</Words>
  <Characters>4937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3</cp:revision>
  <dcterms:created xsi:type="dcterms:W3CDTF">2012-09-04T16:37:00Z</dcterms:created>
  <dcterms:modified xsi:type="dcterms:W3CDTF">2012-09-05T15:21:00Z</dcterms:modified>
</cp:coreProperties>
</file>